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DFEE" w14:textId="77777777" w:rsidR="0061143F" w:rsidRPr="0061143F" w:rsidRDefault="0061143F" w:rsidP="0061143F">
      <w:pPr>
        <w:widowControl/>
        <w:shd w:val="clear" w:color="auto" w:fill="FFFFFF"/>
        <w:jc w:val="center"/>
        <w:rPr>
          <w:rFonts w:ascii="宋体" w:eastAsia="宋体" w:hAnsi="宋体" w:cs="宋体"/>
          <w:color w:val="333333"/>
          <w:kern w:val="0"/>
          <w:sz w:val="24"/>
          <w:szCs w:val="24"/>
        </w:rPr>
      </w:pPr>
      <w:r w:rsidRPr="0061143F">
        <w:rPr>
          <w:rFonts w:ascii="宋体" w:eastAsia="宋体" w:hAnsi="宋体" w:cs="宋体" w:hint="eastAsia"/>
          <w:b/>
          <w:bCs/>
          <w:color w:val="333333"/>
          <w:kern w:val="0"/>
          <w:sz w:val="36"/>
          <w:szCs w:val="36"/>
        </w:rPr>
        <w:t>第三批支持创新相关改革举措推广清单</w:t>
      </w:r>
    </w:p>
    <w:p w14:paraId="46EC9B28" w14:textId="77777777" w:rsidR="0061143F" w:rsidRPr="0061143F" w:rsidRDefault="0061143F" w:rsidP="0061143F">
      <w:pPr>
        <w:widowControl/>
        <w:shd w:val="clear" w:color="auto" w:fill="FFFFFF"/>
        <w:jc w:val="center"/>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704"/>
        <w:gridCol w:w="1701"/>
        <w:gridCol w:w="4111"/>
        <w:gridCol w:w="1417"/>
        <w:gridCol w:w="1139"/>
      </w:tblGrid>
      <w:tr w:rsidR="0061143F" w:rsidRPr="0061143F" w14:paraId="1EC6C454" w14:textId="77777777" w:rsidTr="0061143F">
        <w:trPr>
          <w:jc w:val="center"/>
        </w:trPr>
        <w:tc>
          <w:tcPr>
            <w:tcW w:w="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092FD5" w14:textId="77777777" w:rsidR="0061143F" w:rsidRPr="0061143F" w:rsidRDefault="0061143F" w:rsidP="0061143F">
            <w:pPr>
              <w:widowControl/>
              <w:jc w:val="center"/>
              <w:rPr>
                <w:rFonts w:ascii="等线" w:eastAsia="等线" w:hAnsi="等线" w:cs="宋体" w:hint="eastAsia"/>
                <w:kern w:val="0"/>
                <w:szCs w:val="21"/>
              </w:rPr>
            </w:pPr>
            <w:r w:rsidRPr="0061143F">
              <w:rPr>
                <w:rFonts w:ascii="等线" w:eastAsia="等线" w:hAnsi="等线" w:cs="宋体" w:hint="eastAsia"/>
                <w:b/>
                <w:bCs/>
                <w:kern w:val="0"/>
                <w:sz w:val="20"/>
                <w:szCs w:val="20"/>
              </w:rPr>
              <w:t>序号</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D0A92" w14:textId="77777777" w:rsidR="0061143F" w:rsidRPr="0061143F" w:rsidRDefault="0061143F" w:rsidP="0061143F">
            <w:pPr>
              <w:widowControl/>
              <w:jc w:val="center"/>
              <w:rPr>
                <w:rFonts w:ascii="等线" w:eastAsia="等线" w:hAnsi="等线" w:cs="宋体" w:hint="eastAsia"/>
                <w:kern w:val="0"/>
                <w:szCs w:val="21"/>
              </w:rPr>
            </w:pPr>
            <w:r w:rsidRPr="0061143F">
              <w:rPr>
                <w:rFonts w:ascii="等线" w:eastAsia="等线" w:hAnsi="等线" w:cs="宋体" w:hint="eastAsia"/>
                <w:b/>
                <w:bCs/>
                <w:kern w:val="0"/>
                <w:sz w:val="20"/>
                <w:szCs w:val="20"/>
              </w:rPr>
              <w:t>改革举措</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B572E" w14:textId="77777777" w:rsidR="0061143F" w:rsidRPr="0061143F" w:rsidRDefault="0061143F" w:rsidP="0061143F">
            <w:pPr>
              <w:widowControl/>
              <w:jc w:val="center"/>
              <w:rPr>
                <w:rFonts w:ascii="等线" w:eastAsia="等线" w:hAnsi="等线" w:cs="宋体" w:hint="eastAsia"/>
                <w:kern w:val="0"/>
                <w:szCs w:val="21"/>
              </w:rPr>
            </w:pPr>
            <w:r w:rsidRPr="0061143F">
              <w:rPr>
                <w:rFonts w:ascii="等线" w:eastAsia="等线" w:hAnsi="等线" w:cs="宋体" w:hint="eastAsia"/>
                <w:b/>
                <w:bCs/>
                <w:kern w:val="0"/>
                <w:sz w:val="20"/>
                <w:szCs w:val="20"/>
              </w:rPr>
              <w:t>主 要 内 容</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1C7F3D" w14:textId="77777777" w:rsidR="0061143F" w:rsidRPr="0061143F" w:rsidRDefault="0061143F" w:rsidP="0061143F">
            <w:pPr>
              <w:widowControl/>
              <w:jc w:val="center"/>
              <w:rPr>
                <w:rFonts w:ascii="等线" w:eastAsia="等线" w:hAnsi="等线" w:cs="宋体" w:hint="eastAsia"/>
                <w:kern w:val="0"/>
                <w:szCs w:val="21"/>
              </w:rPr>
            </w:pPr>
            <w:r w:rsidRPr="0061143F">
              <w:rPr>
                <w:rFonts w:ascii="等线" w:eastAsia="等线" w:hAnsi="等线" w:cs="宋体" w:hint="eastAsia"/>
                <w:b/>
                <w:bCs/>
                <w:kern w:val="0"/>
                <w:sz w:val="20"/>
                <w:szCs w:val="20"/>
              </w:rPr>
              <w:t>指导部门</w:t>
            </w:r>
          </w:p>
        </w:tc>
        <w:tc>
          <w:tcPr>
            <w:tcW w:w="11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4A26FF" w14:textId="77777777" w:rsidR="0061143F" w:rsidRPr="0061143F" w:rsidRDefault="0061143F" w:rsidP="0061143F">
            <w:pPr>
              <w:widowControl/>
              <w:jc w:val="center"/>
              <w:rPr>
                <w:rFonts w:ascii="等线" w:eastAsia="等线" w:hAnsi="等线" w:cs="宋体" w:hint="eastAsia"/>
                <w:kern w:val="0"/>
                <w:szCs w:val="21"/>
              </w:rPr>
            </w:pPr>
            <w:r w:rsidRPr="0061143F">
              <w:rPr>
                <w:rFonts w:ascii="等线" w:eastAsia="等线" w:hAnsi="等线" w:cs="宋体" w:hint="eastAsia"/>
                <w:b/>
                <w:bCs/>
                <w:kern w:val="0"/>
                <w:sz w:val="20"/>
                <w:szCs w:val="20"/>
              </w:rPr>
              <w:t>推广范围</w:t>
            </w:r>
          </w:p>
        </w:tc>
      </w:tr>
      <w:tr w:rsidR="0061143F" w:rsidRPr="0061143F" w14:paraId="5B40F0D2" w14:textId="77777777" w:rsidTr="0061143F">
        <w:trPr>
          <w:jc w:val="center"/>
        </w:trPr>
        <w:tc>
          <w:tcPr>
            <w:tcW w:w="907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8D20" w14:textId="77777777" w:rsidR="0061143F" w:rsidRPr="0061143F" w:rsidRDefault="0061143F" w:rsidP="0061143F">
            <w:pPr>
              <w:widowControl/>
              <w:rPr>
                <w:rFonts w:ascii="等线" w:eastAsia="等线" w:hAnsi="等线" w:cs="宋体" w:hint="eastAsia"/>
                <w:kern w:val="0"/>
                <w:szCs w:val="21"/>
              </w:rPr>
            </w:pPr>
            <w:r w:rsidRPr="0061143F">
              <w:rPr>
                <w:rFonts w:ascii="宋体" w:eastAsia="宋体" w:hAnsi="宋体" w:cs="宋体" w:hint="eastAsia"/>
                <w:b/>
                <w:bCs/>
                <w:color w:val="000000"/>
                <w:kern w:val="0"/>
                <w:sz w:val="20"/>
                <w:szCs w:val="20"/>
              </w:rPr>
              <w:t>一、科技金融创新方面</w:t>
            </w:r>
            <w:r w:rsidRPr="0061143F">
              <w:rPr>
                <w:rFonts w:ascii="宋体" w:eastAsia="宋体" w:hAnsi="宋体" w:cs="宋体" w:hint="eastAsia"/>
                <w:color w:val="000000"/>
                <w:kern w:val="0"/>
                <w:sz w:val="20"/>
                <w:szCs w:val="20"/>
              </w:rPr>
              <w:t>（共7项）</w:t>
            </w:r>
          </w:p>
        </w:tc>
      </w:tr>
      <w:tr w:rsidR="0061143F" w:rsidRPr="0061143F" w14:paraId="7C9857B5"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638D37"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D6A85"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银行与专业投资机构建立市场化长期性合作机制支持科技创新型企业</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C4D9A"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银行在依法合</w:t>
            </w:r>
            <w:proofErr w:type="gramStart"/>
            <w:r w:rsidRPr="0061143F">
              <w:rPr>
                <w:rFonts w:ascii="宋体" w:eastAsia="宋体" w:hAnsi="宋体" w:cs="宋体" w:hint="eastAsia"/>
                <w:color w:val="000000"/>
                <w:kern w:val="0"/>
                <w:sz w:val="20"/>
                <w:szCs w:val="20"/>
              </w:rPr>
              <w:t>规</w:t>
            </w:r>
            <w:proofErr w:type="gramEnd"/>
            <w:r w:rsidRPr="0061143F">
              <w:rPr>
                <w:rFonts w:ascii="宋体" w:eastAsia="宋体" w:hAnsi="宋体" w:cs="宋体" w:hint="eastAsia"/>
                <w:color w:val="000000"/>
                <w:kern w:val="0"/>
                <w:sz w:val="20"/>
                <w:szCs w:val="20"/>
              </w:rPr>
              <w:t>、风险可控的前提下，与专业投资机构、信托等非银行金融机构合作，运用“贷款+外部直接投资”或“贷款+远期权益”等模式开展业务，支持科技创新型企业发展。</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9EC41"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银保监会、人民银行、科技部</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95540"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全国</w:t>
            </w:r>
          </w:p>
        </w:tc>
      </w:tr>
      <w:tr w:rsidR="0061143F" w:rsidRPr="0061143F" w14:paraId="2C5A2FB9"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69A453"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201CF"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科技创新</w:t>
            </w:r>
            <w:proofErr w:type="gramStart"/>
            <w:r w:rsidRPr="0061143F">
              <w:rPr>
                <w:rFonts w:ascii="宋体" w:eastAsia="宋体" w:hAnsi="宋体" w:cs="宋体" w:hint="eastAsia"/>
                <w:color w:val="000000"/>
                <w:kern w:val="0"/>
                <w:sz w:val="20"/>
                <w:szCs w:val="20"/>
              </w:rPr>
              <w:t>券</w:t>
            </w:r>
            <w:proofErr w:type="gramEnd"/>
            <w:r w:rsidRPr="0061143F">
              <w:rPr>
                <w:rFonts w:ascii="宋体" w:eastAsia="宋体" w:hAnsi="宋体" w:cs="宋体" w:hint="eastAsia"/>
                <w:color w:val="000000"/>
                <w:kern w:val="0"/>
                <w:sz w:val="20"/>
                <w:szCs w:val="20"/>
              </w:rPr>
              <w:t>跨区域“通用通兑”政策协同机制</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C2D33"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推动财政支持创新的跨行政区域联动机制通过统一服务机构登记标准、放宽服务机构注册地限制，实现企业异地采购科技服务。</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EF6E8"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财政部、科技部、发展改革委</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32C5F"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全国</w:t>
            </w:r>
          </w:p>
        </w:tc>
      </w:tr>
      <w:tr w:rsidR="0061143F" w:rsidRPr="0061143F" w14:paraId="68130F73"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5A5AD"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18CAD" w14:textId="77777777" w:rsidR="0061143F" w:rsidRPr="0061143F" w:rsidRDefault="0061143F" w:rsidP="0061143F">
            <w:pPr>
              <w:widowControl/>
              <w:jc w:val="left"/>
              <w:rPr>
                <w:rFonts w:ascii="等线" w:eastAsia="等线" w:hAnsi="等线" w:cs="宋体" w:hint="eastAsia"/>
                <w:kern w:val="0"/>
                <w:szCs w:val="21"/>
              </w:rPr>
            </w:pPr>
            <w:proofErr w:type="gramStart"/>
            <w:r w:rsidRPr="0061143F">
              <w:rPr>
                <w:rFonts w:ascii="宋体" w:eastAsia="宋体" w:hAnsi="宋体" w:cs="宋体" w:hint="eastAsia"/>
                <w:color w:val="000000"/>
                <w:kern w:val="0"/>
                <w:sz w:val="20"/>
                <w:szCs w:val="20"/>
              </w:rPr>
              <w:t>政银保</w:t>
            </w:r>
            <w:proofErr w:type="gramEnd"/>
            <w:r w:rsidRPr="0061143F">
              <w:rPr>
                <w:rFonts w:ascii="宋体" w:eastAsia="宋体" w:hAnsi="宋体" w:cs="宋体" w:hint="eastAsia"/>
                <w:color w:val="000000"/>
                <w:kern w:val="0"/>
                <w:sz w:val="20"/>
                <w:szCs w:val="20"/>
              </w:rPr>
              <w:t>联动授信担保提供科技型中小企业长期集合信贷机制</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EB6D7"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政府集中遴选科技型中小企业并建立银行贷款风险分担机制，担保公司集中提供担保，银行发放长期贷款，地方财政视财力情况给予担保公司适当补偿，形成“统一管理、统一授信、统一担保、分别负债”的信贷新机制。</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948D3"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财政部、科技部、人民银行、银保监会</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B7DBA"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8个改革试验区域</w:t>
            </w:r>
          </w:p>
        </w:tc>
      </w:tr>
      <w:tr w:rsidR="0061143F" w:rsidRPr="0061143F" w14:paraId="38F83750"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4A889"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26FFA"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建立银行</w:t>
            </w:r>
            <w:proofErr w:type="gramStart"/>
            <w:r w:rsidRPr="0061143F">
              <w:rPr>
                <w:rFonts w:ascii="宋体" w:eastAsia="宋体" w:hAnsi="宋体" w:cs="宋体" w:hint="eastAsia"/>
                <w:color w:val="000000"/>
                <w:kern w:val="0"/>
                <w:sz w:val="20"/>
                <w:szCs w:val="20"/>
              </w:rPr>
              <w:t>跟贷支持</w:t>
            </w:r>
            <w:proofErr w:type="gramEnd"/>
            <w:r w:rsidRPr="0061143F">
              <w:rPr>
                <w:rFonts w:ascii="宋体" w:eastAsia="宋体" w:hAnsi="宋体" w:cs="宋体" w:hint="eastAsia"/>
                <w:color w:val="000000"/>
                <w:kern w:val="0"/>
                <w:sz w:val="20"/>
                <w:szCs w:val="20"/>
              </w:rPr>
              <w:t>科技型中小企业的风险缓释资金池</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EAC5A"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政府适当出资与社会资本共同设立一定额度的外部投贷联动风险缓释资金池，在试点银行对投资机构支持</w:t>
            </w:r>
            <w:proofErr w:type="gramStart"/>
            <w:r w:rsidRPr="0061143F">
              <w:rPr>
                <w:rFonts w:ascii="宋体" w:eastAsia="宋体" w:hAnsi="宋体" w:cs="宋体" w:hint="eastAsia"/>
                <w:color w:val="000000"/>
                <w:kern w:val="0"/>
                <w:sz w:val="20"/>
                <w:szCs w:val="20"/>
              </w:rPr>
              <w:t>的科创企业</w:t>
            </w:r>
            <w:proofErr w:type="gramEnd"/>
            <w:r w:rsidRPr="0061143F">
              <w:rPr>
                <w:rFonts w:ascii="宋体" w:eastAsia="宋体" w:hAnsi="宋体" w:cs="宋体" w:hint="eastAsia"/>
                <w:color w:val="000000"/>
                <w:kern w:val="0"/>
                <w:sz w:val="20"/>
                <w:szCs w:val="20"/>
              </w:rPr>
              <w:t>发放贷款出现风险时，给予一定比例本金代偿，建立投贷联动新机制。</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6CD24"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人民银行、银保监会、财政部</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8ACC1"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8个改革试验区域</w:t>
            </w:r>
          </w:p>
        </w:tc>
      </w:tr>
      <w:tr w:rsidR="0061143F" w:rsidRPr="0061143F" w14:paraId="5FE92324"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ED1AE"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EBCFB"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建立基于大数据分析的“银行+征信+担保”的中小企业信用贷款新模式</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4A892"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通过比选引进高水平的征信机构和信用评级机构，建立企业信用风险分析数据库，与政务信息大数据库实现互联，利用大数据分析技术，对企业评级更精准和高效，为银行提供准确信用信息。</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3DC80"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人民银行、发展改革委、银保监会</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F172F"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全国</w:t>
            </w:r>
          </w:p>
        </w:tc>
      </w:tr>
      <w:tr w:rsidR="0061143F" w:rsidRPr="0061143F" w14:paraId="1AFA2ACA"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5F758"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6</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EA796"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建立以企业创新能力为核心指标的科技型中小企业融资评价体系</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FFD4F"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建立科技型企业信贷审批授权专属流程、信用评价模型和“技术流”专</w:t>
            </w:r>
            <w:proofErr w:type="gramStart"/>
            <w:r w:rsidRPr="0061143F">
              <w:rPr>
                <w:rFonts w:ascii="宋体" w:eastAsia="宋体" w:hAnsi="宋体" w:cs="宋体" w:hint="eastAsia"/>
                <w:color w:val="000000"/>
                <w:kern w:val="0"/>
                <w:sz w:val="20"/>
                <w:szCs w:val="20"/>
              </w:rPr>
              <w:t>属评价</w:t>
            </w:r>
            <w:proofErr w:type="gramEnd"/>
            <w:r w:rsidRPr="0061143F">
              <w:rPr>
                <w:rFonts w:ascii="宋体" w:eastAsia="宋体" w:hAnsi="宋体" w:cs="宋体" w:hint="eastAsia"/>
                <w:color w:val="000000"/>
                <w:kern w:val="0"/>
                <w:sz w:val="20"/>
                <w:szCs w:val="20"/>
              </w:rPr>
              <w:t>体系，将科技创新企业创新能力作为核心指标，拓展科技型中小企业的融资渠道。</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5950B"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银保监会、人民银行、科技部</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39C91"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全国</w:t>
            </w:r>
          </w:p>
        </w:tc>
      </w:tr>
      <w:tr w:rsidR="0061143F" w:rsidRPr="0061143F" w14:paraId="69C3C836"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83F22"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B43A"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银行与企业风险共担的仪器设备信用贷</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0C35F"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地方政府引导设立科学仪器共享平台，推荐科技型中小企业向银行申请用于定向购置仪器设备的信用贷款。平台通过与企业签订仪器设备抵押合同获得优先处置权，出现风险后对仪器设备进行市场化处置。</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41D75"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科技部、银保监会</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AD469"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8个改革试验区域</w:t>
            </w:r>
          </w:p>
        </w:tc>
      </w:tr>
      <w:tr w:rsidR="0061143F" w:rsidRPr="0061143F" w14:paraId="5FD0B645" w14:textId="77777777" w:rsidTr="0061143F">
        <w:trPr>
          <w:jc w:val="center"/>
        </w:trPr>
        <w:tc>
          <w:tcPr>
            <w:tcW w:w="907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4BA6D"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b/>
                <w:bCs/>
                <w:color w:val="000000"/>
                <w:kern w:val="0"/>
                <w:sz w:val="20"/>
                <w:szCs w:val="20"/>
              </w:rPr>
              <w:t>二、科技管理体制创新方面</w:t>
            </w:r>
            <w:r w:rsidRPr="0061143F">
              <w:rPr>
                <w:rFonts w:ascii="宋体" w:eastAsia="宋体" w:hAnsi="宋体" w:cs="宋体" w:hint="eastAsia"/>
                <w:color w:val="000000"/>
                <w:kern w:val="0"/>
                <w:sz w:val="20"/>
                <w:szCs w:val="20"/>
              </w:rPr>
              <w:t>（共6项）</w:t>
            </w:r>
          </w:p>
        </w:tc>
      </w:tr>
      <w:tr w:rsidR="0061143F" w:rsidRPr="0061143F" w14:paraId="43EF8D77"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ED6AA1"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07C1B"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集中科技骨干力量打造前沿技术产业链股份制联盟</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5D494"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面向重大战略新兴产业，政府推动领域内科</w:t>
            </w:r>
            <w:proofErr w:type="gramStart"/>
            <w:r w:rsidRPr="0061143F">
              <w:rPr>
                <w:rFonts w:ascii="宋体" w:eastAsia="宋体" w:hAnsi="宋体" w:cs="宋体" w:hint="eastAsia"/>
                <w:color w:val="000000"/>
                <w:kern w:val="0"/>
                <w:sz w:val="20"/>
                <w:szCs w:val="20"/>
              </w:rPr>
              <w:t>技主体</w:t>
            </w:r>
            <w:proofErr w:type="gramEnd"/>
            <w:r w:rsidRPr="0061143F">
              <w:rPr>
                <w:rFonts w:ascii="宋体" w:eastAsia="宋体" w:hAnsi="宋体" w:cs="宋体" w:hint="eastAsia"/>
                <w:color w:val="000000"/>
                <w:kern w:val="0"/>
                <w:sz w:val="20"/>
                <w:szCs w:val="20"/>
              </w:rPr>
              <w:t>与产业主体以股份为纽带，建立股份制战略技术联盟、成立法人实体，推动全产业链上不同环节技术优势单位强</w:t>
            </w:r>
            <w:proofErr w:type="gramStart"/>
            <w:r w:rsidRPr="0061143F">
              <w:rPr>
                <w:rFonts w:ascii="宋体" w:eastAsia="宋体" w:hAnsi="宋体" w:cs="宋体" w:hint="eastAsia"/>
                <w:color w:val="000000"/>
                <w:kern w:val="0"/>
                <w:sz w:val="20"/>
                <w:szCs w:val="20"/>
              </w:rPr>
              <w:t>强</w:t>
            </w:r>
            <w:proofErr w:type="gramEnd"/>
            <w:r w:rsidRPr="0061143F">
              <w:rPr>
                <w:rFonts w:ascii="宋体" w:eastAsia="宋体" w:hAnsi="宋体" w:cs="宋体" w:hint="eastAsia"/>
                <w:color w:val="000000"/>
                <w:kern w:val="0"/>
                <w:sz w:val="20"/>
                <w:szCs w:val="20"/>
              </w:rPr>
              <w:t>联合、交</w:t>
            </w:r>
            <w:r w:rsidRPr="0061143F">
              <w:rPr>
                <w:rFonts w:ascii="宋体" w:eastAsia="宋体" w:hAnsi="宋体" w:cs="宋体" w:hint="eastAsia"/>
                <w:color w:val="000000"/>
                <w:kern w:val="0"/>
                <w:sz w:val="20"/>
                <w:szCs w:val="20"/>
              </w:rPr>
              <w:lastRenderedPageBreak/>
              <w:t>互持股，打造技术创新合作网络和利益共同体。</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8F128"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lastRenderedPageBreak/>
              <w:t>发展改革委、科技部</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86FA3"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全国</w:t>
            </w:r>
          </w:p>
        </w:tc>
      </w:tr>
      <w:tr w:rsidR="0061143F" w:rsidRPr="0061143F" w14:paraId="670C59A9"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12F27C"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9</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D5A3B"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对战略性科研项目实施滚动支持制度</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B8BCF"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针对战略性科研项目一次性申报、一次性资助、实施周期长等特点，建立跨年度、覆盖项目全周期的管理制度，统筹各年度科研计划和预算资金安排，进行滚动支持。</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F6023"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科技部、财政部</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7F3AE"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全国</w:t>
            </w:r>
          </w:p>
        </w:tc>
      </w:tr>
      <w:tr w:rsidR="0061143F" w:rsidRPr="0061143F" w14:paraId="3026BE09"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8A78C"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10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08911"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以产业数据、专利数据为基础的新兴产业专利导航决策机制</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71788"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运用专利导航方法，通过产业数据、专利数据分析，准确把握战略新兴产业领域和区域重点产业的技术与市场竞争态势，合理推进区域新兴产业布局和结构优化。</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EABBF"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发展改革委、科技部、知识产权局</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BB71"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全国</w:t>
            </w:r>
          </w:p>
        </w:tc>
      </w:tr>
      <w:tr w:rsidR="0061143F" w:rsidRPr="0061143F" w14:paraId="7B1DCA2C"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52CE5"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11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82DED"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老工业基地的国有企业创新创业增量型业务混合所有制改革</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6A3AE"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老工业基地的国有企业以“双创”开拓出的新业务增长点引入社会资本，通过市场化债转股、限制性股权激励等模式，深化国有企业混合所有制改革。</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22818"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国资委、财政部、人民银行</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91168"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全国</w:t>
            </w:r>
          </w:p>
        </w:tc>
      </w:tr>
      <w:tr w:rsidR="0061143F" w:rsidRPr="0061143F" w14:paraId="65E8CBC1"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202E1"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12</w:t>
            </w:r>
          </w:p>
          <w:p w14:paraId="3995462F" w14:textId="77777777" w:rsidR="0061143F" w:rsidRPr="0061143F" w:rsidRDefault="0061143F" w:rsidP="0061143F">
            <w:pPr>
              <w:widowControl/>
              <w:jc w:val="center"/>
              <w:rPr>
                <w:rFonts w:ascii="等线" w:eastAsia="等线" w:hAnsi="等线" w:cs="宋体" w:hint="eastAsia"/>
                <w:kern w:val="0"/>
                <w:szCs w:val="21"/>
              </w:rPr>
            </w:pPr>
            <w:r w:rsidRPr="0061143F">
              <w:rPr>
                <w:rFonts w:ascii="等线" w:eastAsia="等线" w:hAnsi="等线" w:cs="宋体" w:hint="eastAsia"/>
                <w:kern w:val="0"/>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247C0"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生物医药领域特殊物品出入境检验检疫“一站式”监管服务机制</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75FF4"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创新特殊物品出入境检验检疫监管服务，针对生物医药检验检疫，扩大低风险特殊物品智能审批覆盖范围，对试点企业进口同一种科研用样本实施“一次评估、分批进口”。推广中，需要对特殊物品应用制定针对性监管措施。</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8C6E4"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海关总署</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2FBF5"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全国</w:t>
            </w:r>
          </w:p>
        </w:tc>
      </w:tr>
      <w:tr w:rsidR="0061143F" w:rsidRPr="0061143F" w14:paraId="095522B7"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D9EBB"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F29D4"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地方深度参与国家基础研究和应用基础研究的投入机制</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45ED7"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在充分发挥中央财政支持基础研究重要作用的基础上，地方通过有机对接国家基础研究、技术创新和产业创新等项目，从财政资金、人才和土地等方面建立持续的投入机制，加大对国家基础研究和应用基础研究的支持力度。</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73A1E"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科技部、发展改革委</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D6CD5"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全国</w:t>
            </w:r>
          </w:p>
        </w:tc>
      </w:tr>
      <w:tr w:rsidR="0061143F" w:rsidRPr="0061143F" w14:paraId="7933BEF7" w14:textId="77777777" w:rsidTr="0061143F">
        <w:trPr>
          <w:jc w:val="center"/>
        </w:trPr>
        <w:tc>
          <w:tcPr>
            <w:tcW w:w="907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17936"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b/>
                <w:bCs/>
                <w:color w:val="000000"/>
                <w:kern w:val="0"/>
                <w:sz w:val="20"/>
                <w:szCs w:val="20"/>
              </w:rPr>
              <w:t>三、知识产权保护方面</w:t>
            </w:r>
            <w:r w:rsidRPr="0061143F">
              <w:rPr>
                <w:rFonts w:ascii="宋体" w:eastAsia="宋体" w:hAnsi="宋体" w:cs="宋体" w:hint="eastAsia"/>
                <w:color w:val="000000"/>
                <w:kern w:val="0"/>
                <w:sz w:val="20"/>
                <w:szCs w:val="20"/>
              </w:rPr>
              <w:t>（共2项）</w:t>
            </w:r>
          </w:p>
        </w:tc>
      </w:tr>
      <w:tr w:rsidR="0061143F" w:rsidRPr="0061143F" w14:paraId="4AD5DFA4"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320C54"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14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FE370"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建立跨区域的知识产权远程诉讼平台</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4E8E5"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知识产权法院设立远程诉讼服务处，建立诉讼咨询服务平台，突破诉讼地域限制，为当事人提供远程立案、案件查询、远程视频庭审等多项诉讼服务。知识产权部门加强跨区域维权援助工作的协同。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795A6"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最高人民法院、知识产权局</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4CFD5"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8个改革试验区域</w:t>
            </w:r>
          </w:p>
        </w:tc>
      </w:tr>
      <w:tr w:rsidR="0061143F" w:rsidRPr="0061143F" w14:paraId="2D084A83"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17870"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15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6282C"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建立提供全方位证据服务的知识产权公证服务平台</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FDE66"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成立知识产权公证服务中心，围绕知识产权公证案件，办理涵盖知识产权授权公证、证据保全公证等各类型知识产权公证业务，为企业及个人解决知识产权纠纷提供高效的公证法律服务。</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3D4A9"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司法部、知识产权局</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2168F"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8个改革试验区域</w:t>
            </w:r>
          </w:p>
        </w:tc>
      </w:tr>
      <w:tr w:rsidR="0061143F" w:rsidRPr="0061143F" w14:paraId="73E94953" w14:textId="77777777" w:rsidTr="0061143F">
        <w:trPr>
          <w:jc w:val="center"/>
        </w:trPr>
        <w:tc>
          <w:tcPr>
            <w:tcW w:w="907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F400F"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b/>
                <w:bCs/>
                <w:color w:val="000000"/>
                <w:kern w:val="0"/>
                <w:sz w:val="20"/>
                <w:szCs w:val="20"/>
              </w:rPr>
              <w:t>四、人才培养和激励方面</w:t>
            </w:r>
            <w:r w:rsidRPr="0061143F">
              <w:rPr>
                <w:rFonts w:ascii="宋体" w:eastAsia="宋体" w:hAnsi="宋体" w:cs="宋体" w:hint="eastAsia"/>
                <w:color w:val="000000"/>
                <w:kern w:val="0"/>
                <w:sz w:val="20"/>
                <w:szCs w:val="20"/>
              </w:rPr>
              <w:t>（共1项）</w:t>
            </w:r>
          </w:p>
        </w:tc>
      </w:tr>
      <w:tr w:rsidR="0061143F" w:rsidRPr="0061143F" w14:paraId="0FF7D6F2" w14:textId="77777777" w:rsidTr="0061143F">
        <w:trPr>
          <w:jc w:val="center"/>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AEF91A"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16</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72F56"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“五业联动”的职业教育发展新机制</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FEEBA"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政府主导和统筹，行业企业参与、指导和评价，职业院校（含技工院校）培养，研究机构支持和服务，加强资源整合，建立就业、职业、产业、行业和企业协同联动的新机制，实现职业教育办学结构和效能优化。</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63268"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color w:val="000000"/>
                <w:kern w:val="0"/>
                <w:sz w:val="20"/>
                <w:szCs w:val="20"/>
              </w:rPr>
              <w:t>教育部、发展改革委、工业和信息化部、财政部、人力资源社会保障部</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89BA5" w14:textId="77777777" w:rsidR="0061143F" w:rsidRPr="0061143F" w:rsidRDefault="0061143F" w:rsidP="0061143F">
            <w:pPr>
              <w:widowControl/>
              <w:jc w:val="center"/>
              <w:rPr>
                <w:rFonts w:ascii="等线" w:eastAsia="等线" w:hAnsi="等线" w:cs="宋体" w:hint="eastAsia"/>
                <w:kern w:val="0"/>
                <w:szCs w:val="21"/>
              </w:rPr>
            </w:pPr>
            <w:r w:rsidRPr="0061143F">
              <w:rPr>
                <w:rFonts w:ascii="宋体" w:eastAsia="宋体" w:hAnsi="宋体" w:cs="宋体" w:hint="eastAsia"/>
                <w:color w:val="000000"/>
                <w:kern w:val="0"/>
                <w:sz w:val="20"/>
                <w:szCs w:val="20"/>
              </w:rPr>
              <w:t>全国</w:t>
            </w:r>
          </w:p>
        </w:tc>
      </w:tr>
      <w:tr w:rsidR="0061143F" w:rsidRPr="0061143F" w14:paraId="6DA5E92E" w14:textId="77777777" w:rsidTr="0061143F">
        <w:trPr>
          <w:jc w:val="center"/>
        </w:trPr>
        <w:tc>
          <w:tcPr>
            <w:tcW w:w="907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DB8C3" w14:textId="77777777" w:rsidR="0061143F" w:rsidRPr="0061143F" w:rsidRDefault="0061143F" w:rsidP="0061143F">
            <w:pPr>
              <w:widowControl/>
              <w:jc w:val="left"/>
              <w:rPr>
                <w:rFonts w:ascii="等线" w:eastAsia="等线" w:hAnsi="等线" w:cs="宋体" w:hint="eastAsia"/>
                <w:kern w:val="0"/>
                <w:szCs w:val="21"/>
              </w:rPr>
            </w:pPr>
            <w:r w:rsidRPr="0061143F">
              <w:rPr>
                <w:rFonts w:ascii="宋体" w:eastAsia="宋体" w:hAnsi="宋体" w:cs="宋体" w:hint="eastAsia"/>
                <w:b/>
                <w:bCs/>
                <w:color w:val="000000"/>
                <w:kern w:val="0"/>
                <w:sz w:val="20"/>
                <w:szCs w:val="20"/>
              </w:rPr>
              <w:lastRenderedPageBreak/>
              <w:t>五、军民深度融合方面</w:t>
            </w:r>
            <w:r w:rsidRPr="0061143F">
              <w:rPr>
                <w:rFonts w:ascii="宋体" w:eastAsia="宋体" w:hAnsi="宋体" w:cs="宋体" w:hint="eastAsia"/>
                <w:color w:val="000000"/>
                <w:kern w:val="0"/>
                <w:sz w:val="20"/>
                <w:szCs w:val="20"/>
              </w:rPr>
              <w:t>（共4项）</w:t>
            </w:r>
          </w:p>
        </w:tc>
      </w:tr>
    </w:tbl>
    <w:p w14:paraId="63284EE5" w14:textId="77777777" w:rsidR="008F0938" w:rsidRPr="0061143F" w:rsidRDefault="008F0938">
      <w:pPr>
        <w:rPr>
          <w:rFonts w:hint="eastAsia"/>
        </w:rPr>
      </w:pPr>
    </w:p>
    <w:sectPr w:rsidR="008F0938" w:rsidRPr="00611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3F"/>
    <w:rsid w:val="000457FC"/>
    <w:rsid w:val="00195FF4"/>
    <w:rsid w:val="0061143F"/>
    <w:rsid w:val="008F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EE14"/>
  <w15:chartTrackingRefBased/>
  <w15:docId w15:val="{BB36D4D3-9659-4E2C-ADE5-1060B837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ziwei</dc:creator>
  <cp:keywords/>
  <dc:description/>
  <cp:lastModifiedBy>ziwei</cp:lastModifiedBy>
  <cp:revision>1</cp:revision>
  <dcterms:created xsi:type="dcterms:W3CDTF">2023-01-14T07:31:00Z</dcterms:created>
  <dcterms:modified xsi:type="dcterms:W3CDTF">2023-01-14T07:32:00Z</dcterms:modified>
</cp:coreProperties>
</file>